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0DDB2" w14:textId="77777777" w:rsidR="00EA6AFD" w:rsidRPr="000A0BDC" w:rsidRDefault="00593343" w:rsidP="00593343">
      <w:pPr>
        <w:jc w:val="center"/>
        <w:rPr>
          <w:b/>
          <w:sz w:val="28"/>
          <w:szCs w:val="28"/>
        </w:rPr>
      </w:pPr>
      <w:r w:rsidRPr="000A0BDC">
        <w:rPr>
          <w:b/>
          <w:sz w:val="28"/>
          <w:szCs w:val="28"/>
        </w:rPr>
        <w:t>SPECIAL EDUCATION ASSESSMENT TOOL</w:t>
      </w:r>
      <w:r w:rsidR="003A07C6" w:rsidRPr="000A0BDC">
        <w:rPr>
          <w:rStyle w:val="FootnoteReference"/>
          <w:b/>
          <w:sz w:val="28"/>
          <w:szCs w:val="28"/>
        </w:rPr>
        <w:footnoteReference w:id="1"/>
      </w:r>
    </w:p>
    <w:p w14:paraId="1FA5EB14" w14:textId="77777777" w:rsidR="00593343" w:rsidRPr="000A0BDC" w:rsidRDefault="00593343" w:rsidP="00593343">
      <w:pPr>
        <w:jc w:val="center"/>
        <w:rPr>
          <w:b/>
          <w:sz w:val="28"/>
          <w:szCs w:val="28"/>
        </w:rPr>
      </w:pPr>
    </w:p>
    <w:tbl>
      <w:tblPr>
        <w:tblStyle w:val="TableGrid"/>
        <w:tblW w:w="14477" w:type="dxa"/>
        <w:tblLook w:val="04A0" w:firstRow="1" w:lastRow="0" w:firstColumn="1" w:lastColumn="0" w:noHBand="0" w:noVBand="1"/>
      </w:tblPr>
      <w:tblGrid>
        <w:gridCol w:w="3505"/>
        <w:gridCol w:w="7200"/>
        <w:gridCol w:w="3772"/>
      </w:tblGrid>
      <w:tr w:rsidR="00A80941" w:rsidRPr="000A0BDC" w14:paraId="00518616" w14:textId="77777777" w:rsidTr="00A80941">
        <w:tc>
          <w:tcPr>
            <w:tcW w:w="3505" w:type="dxa"/>
          </w:tcPr>
          <w:p w14:paraId="3B382A05" w14:textId="77777777" w:rsidR="000A0BDC" w:rsidRPr="000A0BDC" w:rsidRDefault="000A0BDC" w:rsidP="00593343">
            <w:pPr>
              <w:jc w:val="center"/>
              <w:rPr>
                <w:b/>
                <w:sz w:val="28"/>
                <w:szCs w:val="28"/>
              </w:rPr>
            </w:pPr>
          </w:p>
        </w:tc>
        <w:tc>
          <w:tcPr>
            <w:tcW w:w="7200" w:type="dxa"/>
          </w:tcPr>
          <w:p w14:paraId="74B0CDCA" w14:textId="77777777" w:rsidR="000A0BDC" w:rsidRPr="000A0BDC" w:rsidRDefault="000A0BDC" w:rsidP="00593343">
            <w:pPr>
              <w:jc w:val="center"/>
              <w:rPr>
                <w:b/>
                <w:sz w:val="28"/>
                <w:szCs w:val="28"/>
              </w:rPr>
            </w:pPr>
            <w:r w:rsidRPr="000A0BDC">
              <w:rPr>
                <w:b/>
                <w:sz w:val="28"/>
                <w:szCs w:val="28"/>
              </w:rPr>
              <w:t>EVIDENCE</w:t>
            </w:r>
          </w:p>
        </w:tc>
        <w:tc>
          <w:tcPr>
            <w:tcW w:w="3772" w:type="dxa"/>
          </w:tcPr>
          <w:p w14:paraId="3DD3C5A1" w14:textId="4BC2F30A" w:rsidR="000A0BDC" w:rsidRPr="000A0BDC" w:rsidRDefault="008150CE" w:rsidP="00593343">
            <w:pPr>
              <w:jc w:val="center"/>
              <w:rPr>
                <w:b/>
                <w:sz w:val="28"/>
                <w:szCs w:val="28"/>
              </w:rPr>
            </w:pPr>
            <w:r>
              <w:rPr>
                <w:b/>
                <w:sz w:val="28"/>
                <w:szCs w:val="28"/>
              </w:rPr>
              <w:t>OBSERVATION</w:t>
            </w:r>
          </w:p>
        </w:tc>
      </w:tr>
      <w:tr w:rsidR="00A80941" w:rsidRPr="000A0BDC" w14:paraId="7B1CC166" w14:textId="77777777" w:rsidTr="00A80941">
        <w:tc>
          <w:tcPr>
            <w:tcW w:w="3505" w:type="dxa"/>
          </w:tcPr>
          <w:p w14:paraId="5291B03D" w14:textId="77777777" w:rsidR="000A0BDC" w:rsidRPr="000A0BDC" w:rsidRDefault="000A0BDC" w:rsidP="003A07C6">
            <w:pPr>
              <w:rPr>
                <w:b/>
                <w:sz w:val="28"/>
                <w:szCs w:val="28"/>
              </w:rPr>
            </w:pPr>
            <w:r w:rsidRPr="000A0BDC">
              <w:rPr>
                <w:b/>
                <w:sz w:val="28"/>
                <w:szCs w:val="28"/>
              </w:rPr>
              <w:t>INCLUSIVE ACADEMIC INSTRUCTION:</w:t>
            </w:r>
          </w:p>
          <w:p w14:paraId="3A23017C" w14:textId="3036257C" w:rsidR="000A0BDC" w:rsidRPr="000A0BDC" w:rsidRDefault="000A0BDC" w:rsidP="003A07C6">
            <w:pPr>
              <w:rPr>
                <w:rFonts w:ascii="Times New Roman" w:eastAsia="Times New Roman" w:hAnsi="Times New Roman" w:cs="Times New Roman"/>
                <w:sz w:val="28"/>
                <w:szCs w:val="28"/>
              </w:rPr>
            </w:pPr>
            <w:r w:rsidRPr="003A07C6">
              <w:rPr>
                <w:rFonts w:ascii="HelveticaNeue" w:eastAsia="Times New Roman" w:hAnsi="HelveticaNeue" w:cs="Times New Roman"/>
                <w:color w:val="252F35"/>
                <w:sz w:val="28"/>
                <w:szCs w:val="28"/>
                <w:shd w:val="clear" w:color="auto" w:fill="FFFFFF"/>
              </w:rPr>
              <w:t>Schools use multi-tiered instructional strategies, differentiation, Universal Design for Learning</w:t>
            </w:r>
            <w:r w:rsidR="00A80941">
              <w:rPr>
                <w:rFonts w:ascii="HelveticaNeue" w:eastAsia="Times New Roman" w:hAnsi="HelveticaNeue" w:cs="Times New Roman"/>
                <w:color w:val="252F35"/>
                <w:sz w:val="28"/>
                <w:szCs w:val="28"/>
                <w:shd w:val="clear" w:color="auto" w:fill="FFFFFF"/>
              </w:rPr>
              <w:t xml:space="preserve"> (UDL)</w:t>
            </w:r>
            <w:r w:rsidRPr="003A07C6">
              <w:rPr>
                <w:rFonts w:ascii="HelveticaNeue" w:eastAsia="Times New Roman" w:hAnsi="HelveticaNeue" w:cs="Times New Roman"/>
                <w:color w:val="252F35"/>
                <w:sz w:val="28"/>
                <w:szCs w:val="28"/>
                <w:shd w:val="clear" w:color="auto" w:fill="FFFFFF"/>
              </w:rPr>
              <w:t xml:space="preserve">, and flexible grouping to support instruction all students, including those with the most extensive support needs.  </w:t>
            </w:r>
          </w:p>
        </w:tc>
        <w:tc>
          <w:tcPr>
            <w:tcW w:w="7200" w:type="dxa"/>
          </w:tcPr>
          <w:p w14:paraId="202B4BC0" w14:textId="549D3210" w:rsidR="0080396D" w:rsidRDefault="0080396D" w:rsidP="00A80941">
            <w:pPr>
              <w:pStyle w:val="ListParagraph"/>
              <w:numPr>
                <w:ilvl w:val="0"/>
                <w:numId w:val="1"/>
              </w:numPr>
              <w:ind w:left="256" w:hanging="270"/>
              <w:rPr>
                <w:sz w:val="28"/>
                <w:szCs w:val="28"/>
              </w:rPr>
            </w:pPr>
            <w:r>
              <w:rPr>
                <w:sz w:val="28"/>
                <w:szCs w:val="28"/>
              </w:rPr>
              <w:t>School has clear expectations regarding UDL, differentiation, and flexible grouping, and provide sufficient resources and learning opportunities to use these well</w:t>
            </w:r>
          </w:p>
          <w:p w14:paraId="527B8C92" w14:textId="77777777" w:rsidR="0080396D" w:rsidRDefault="0080396D" w:rsidP="00A80941">
            <w:pPr>
              <w:pStyle w:val="ListParagraph"/>
              <w:numPr>
                <w:ilvl w:val="0"/>
                <w:numId w:val="1"/>
              </w:numPr>
              <w:ind w:left="256" w:hanging="270"/>
              <w:rPr>
                <w:sz w:val="28"/>
                <w:szCs w:val="28"/>
              </w:rPr>
            </w:pPr>
            <w:r>
              <w:rPr>
                <w:sz w:val="28"/>
                <w:szCs w:val="28"/>
              </w:rPr>
              <w:t>School has a system to regularly and formally monitor all components of UDL</w:t>
            </w:r>
          </w:p>
          <w:p w14:paraId="680D7605" w14:textId="5C231D20" w:rsidR="008150CE" w:rsidRPr="005E585F" w:rsidRDefault="0080396D" w:rsidP="00A80941">
            <w:pPr>
              <w:pStyle w:val="ListParagraph"/>
              <w:numPr>
                <w:ilvl w:val="0"/>
                <w:numId w:val="1"/>
              </w:numPr>
              <w:ind w:left="256" w:hanging="270"/>
              <w:rPr>
                <w:sz w:val="28"/>
                <w:szCs w:val="28"/>
              </w:rPr>
            </w:pPr>
            <w:r w:rsidRPr="00C7531A">
              <w:rPr>
                <w:sz w:val="28"/>
                <w:szCs w:val="28"/>
              </w:rPr>
              <w:t>Universal screenings are used to identify students at risk of failure at least 3 times a year and more frequent assessments are available if more monitoring is needed.</w:t>
            </w:r>
          </w:p>
          <w:p w14:paraId="045D9FB8" w14:textId="77777777" w:rsidR="005B4FF4" w:rsidRDefault="005B4FF4" w:rsidP="00A80941">
            <w:pPr>
              <w:pStyle w:val="ListParagraph"/>
              <w:numPr>
                <w:ilvl w:val="0"/>
                <w:numId w:val="1"/>
              </w:numPr>
              <w:ind w:left="256" w:hanging="270"/>
              <w:rPr>
                <w:sz w:val="28"/>
                <w:szCs w:val="28"/>
              </w:rPr>
            </w:pPr>
            <w:r>
              <w:rPr>
                <w:sz w:val="28"/>
                <w:szCs w:val="28"/>
              </w:rPr>
              <w:t>School has Tier II and III interventions available.  Those interventions are implemented with fidelity</w:t>
            </w:r>
          </w:p>
          <w:p w14:paraId="16574B71" w14:textId="77777777" w:rsidR="005B4FF4" w:rsidRDefault="005B4FF4" w:rsidP="00A80941">
            <w:pPr>
              <w:pStyle w:val="ListParagraph"/>
              <w:numPr>
                <w:ilvl w:val="0"/>
                <w:numId w:val="1"/>
              </w:numPr>
              <w:ind w:left="256" w:hanging="270"/>
              <w:rPr>
                <w:sz w:val="28"/>
                <w:szCs w:val="28"/>
              </w:rPr>
            </w:pPr>
            <w:r>
              <w:rPr>
                <w:sz w:val="28"/>
                <w:szCs w:val="28"/>
              </w:rPr>
              <w:t>School has clear access and exit rules to identify when students need to participate in advanced tier interventions.</w:t>
            </w:r>
          </w:p>
          <w:p w14:paraId="6BFCB46E" w14:textId="776F0F28" w:rsidR="005B4FF4" w:rsidRPr="005B4FF4" w:rsidRDefault="005B4FF4" w:rsidP="00A80941">
            <w:pPr>
              <w:pStyle w:val="ListParagraph"/>
              <w:numPr>
                <w:ilvl w:val="0"/>
                <w:numId w:val="1"/>
              </w:numPr>
              <w:ind w:left="256" w:hanging="270"/>
              <w:rPr>
                <w:sz w:val="28"/>
                <w:szCs w:val="28"/>
              </w:rPr>
            </w:pPr>
            <w:r w:rsidRPr="0001793B">
              <w:rPr>
                <w:sz w:val="28"/>
                <w:szCs w:val="28"/>
              </w:rPr>
              <w:t>School has universal screeners to proactively provide supports for students at risk</w:t>
            </w:r>
          </w:p>
        </w:tc>
        <w:tc>
          <w:tcPr>
            <w:tcW w:w="3772" w:type="dxa"/>
          </w:tcPr>
          <w:p w14:paraId="58A2DD9D" w14:textId="77777777" w:rsidR="000A0BDC" w:rsidRPr="000A0BDC" w:rsidRDefault="000A0BDC" w:rsidP="00593343">
            <w:pPr>
              <w:jc w:val="center"/>
              <w:rPr>
                <w:b/>
                <w:sz w:val="28"/>
                <w:szCs w:val="28"/>
              </w:rPr>
            </w:pPr>
          </w:p>
        </w:tc>
      </w:tr>
      <w:tr w:rsidR="00A80941" w:rsidRPr="000A0BDC" w14:paraId="0753CA01" w14:textId="77777777" w:rsidTr="00A80941">
        <w:tc>
          <w:tcPr>
            <w:tcW w:w="3505" w:type="dxa"/>
          </w:tcPr>
          <w:p w14:paraId="19345F71" w14:textId="00815EB5" w:rsidR="000A0BDC" w:rsidRPr="000A0BDC" w:rsidRDefault="000A0BDC" w:rsidP="003A07C6">
            <w:pPr>
              <w:rPr>
                <w:b/>
                <w:sz w:val="28"/>
                <w:szCs w:val="28"/>
              </w:rPr>
            </w:pPr>
            <w:r w:rsidRPr="000A0BDC">
              <w:rPr>
                <w:b/>
                <w:sz w:val="28"/>
                <w:szCs w:val="28"/>
              </w:rPr>
              <w:t xml:space="preserve">INCLUSIVE BEHAVIOR INSTRUCTION:  </w:t>
            </w:r>
          </w:p>
          <w:p w14:paraId="093E2F6C" w14:textId="77777777" w:rsidR="000A0BDC" w:rsidRPr="000A0BDC" w:rsidRDefault="000A0BDC" w:rsidP="003A07C6">
            <w:pPr>
              <w:rPr>
                <w:rFonts w:ascii="Times New Roman" w:eastAsia="Times New Roman" w:hAnsi="Times New Roman" w:cs="Times New Roman"/>
                <w:sz w:val="28"/>
                <w:szCs w:val="28"/>
              </w:rPr>
            </w:pPr>
            <w:r w:rsidRPr="003A07C6">
              <w:rPr>
                <w:rFonts w:ascii="HelveticaNeue" w:eastAsia="Times New Roman" w:hAnsi="HelveticaNeue" w:cs="Times New Roman"/>
                <w:color w:val="252F35"/>
                <w:sz w:val="28"/>
                <w:szCs w:val="28"/>
                <w:shd w:val="clear" w:color="auto" w:fill="FFFFFF"/>
              </w:rPr>
              <w:t xml:space="preserve">Inclusive Behavior Instruction is a proactive approach to teaching social and behavior skills. Schoolwide interventions identify instructional priorities using multiple sources of data, prevent </w:t>
            </w:r>
            <w:r w:rsidRPr="003A07C6">
              <w:rPr>
                <w:rFonts w:ascii="HelveticaNeue" w:eastAsia="Times New Roman" w:hAnsi="HelveticaNeue" w:cs="Times New Roman"/>
                <w:color w:val="252F35"/>
                <w:sz w:val="28"/>
                <w:szCs w:val="28"/>
                <w:shd w:val="clear" w:color="auto" w:fill="FFFFFF"/>
              </w:rPr>
              <w:lastRenderedPageBreak/>
              <w:t xml:space="preserve">behavior challenges, and provide social and behavior supports.  </w:t>
            </w:r>
          </w:p>
        </w:tc>
        <w:tc>
          <w:tcPr>
            <w:tcW w:w="7200" w:type="dxa"/>
          </w:tcPr>
          <w:p w14:paraId="4E86DF30" w14:textId="77777777" w:rsidR="0080396D" w:rsidRPr="0001793B" w:rsidRDefault="0080396D" w:rsidP="00A80941">
            <w:pPr>
              <w:pStyle w:val="ListParagraph"/>
              <w:numPr>
                <w:ilvl w:val="0"/>
                <w:numId w:val="4"/>
              </w:numPr>
              <w:ind w:left="256" w:hanging="270"/>
              <w:rPr>
                <w:sz w:val="28"/>
                <w:szCs w:val="28"/>
              </w:rPr>
            </w:pPr>
            <w:r w:rsidRPr="0001793B">
              <w:rPr>
                <w:sz w:val="28"/>
                <w:szCs w:val="28"/>
              </w:rPr>
              <w:lastRenderedPageBreak/>
              <w:t>Behavior team includes people who interact with students in a variety of ways (grade level educators, special educators, other specialists)</w:t>
            </w:r>
          </w:p>
          <w:p w14:paraId="272D0AFB" w14:textId="77777777" w:rsidR="0080396D" w:rsidRPr="0001793B" w:rsidRDefault="0080396D" w:rsidP="00A80941">
            <w:pPr>
              <w:pStyle w:val="ListParagraph"/>
              <w:numPr>
                <w:ilvl w:val="0"/>
                <w:numId w:val="4"/>
              </w:numPr>
              <w:ind w:left="256" w:hanging="270"/>
              <w:rPr>
                <w:sz w:val="28"/>
                <w:szCs w:val="28"/>
              </w:rPr>
            </w:pPr>
            <w:r w:rsidRPr="0001793B">
              <w:rPr>
                <w:sz w:val="28"/>
                <w:szCs w:val="28"/>
              </w:rPr>
              <w:t>Functional behavior assessments are available for all students who need advanced supports regardless of their eligibility for IEPs</w:t>
            </w:r>
          </w:p>
          <w:p w14:paraId="2832AECD" w14:textId="77777777" w:rsidR="00D43207" w:rsidRDefault="0080396D" w:rsidP="00A80941">
            <w:pPr>
              <w:pStyle w:val="ListParagraph"/>
              <w:numPr>
                <w:ilvl w:val="0"/>
                <w:numId w:val="4"/>
              </w:numPr>
              <w:ind w:left="256" w:hanging="270"/>
              <w:rPr>
                <w:sz w:val="28"/>
                <w:szCs w:val="28"/>
              </w:rPr>
            </w:pPr>
            <w:r w:rsidRPr="0001793B">
              <w:rPr>
                <w:sz w:val="28"/>
                <w:szCs w:val="28"/>
              </w:rPr>
              <w:t>Tier II and III behavior plans include strategies for prevention, strategies for increasing desired behaviors, strategies for minimizing rewards for problem behavior, and exit criteria</w:t>
            </w:r>
          </w:p>
          <w:p w14:paraId="3B68B19C" w14:textId="77777777" w:rsidR="005B4FF4" w:rsidRPr="0001793B" w:rsidRDefault="005B4FF4" w:rsidP="00A80941">
            <w:pPr>
              <w:pStyle w:val="ListParagraph"/>
              <w:numPr>
                <w:ilvl w:val="0"/>
                <w:numId w:val="4"/>
              </w:numPr>
              <w:ind w:left="256" w:hanging="270"/>
              <w:rPr>
                <w:sz w:val="28"/>
                <w:szCs w:val="28"/>
              </w:rPr>
            </w:pPr>
            <w:r w:rsidRPr="0001793B">
              <w:rPr>
                <w:sz w:val="28"/>
                <w:szCs w:val="28"/>
              </w:rPr>
              <w:lastRenderedPageBreak/>
              <w:t>School measures and monitors fidelity of Tier II and III behavior interventions and supports</w:t>
            </w:r>
          </w:p>
          <w:p w14:paraId="31ADECA5" w14:textId="45EC49AD" w:rsidR="005B4FF4" w:rsidRPr="005B4FF4" w:rsidRDefault="005B4FF4" w:rsidP="00A80941">
            <w:pPr>
              <w:pStyle w:val="ListParagraph"/>
              <w:numPr>
                <w:ilvl w:val="0"/>
                <w:numId w:val="4"/>
              </w:numPr>
              <w:ind w:left="256" w:hanging="270"/>
              <w:rPr>
                <w:sz w:val="28"/>
                <w:szCs w:val="28"/>
              </w:rPr>
            </w:pPr>
            <w:r w:rsidRPr="0001793B">
              <w:rPr>
                <w:sz w:val="28"/>
                <w:szCs w:val="28"/>
              </w:rPr>
              <w:t>Teams review both behavior and academic data to understand student performance</w:t>
            </w:r>
          </w:p>
        </w:tc>
        <w:tc>
          <w:tcPr>
            <w:tcW w:w="3772" w:type="dxa"/>
          </w:tcPr>
          <w:p w14:paraId="785C486F" w14:textId="77777777" w:rsidR="000A0BDC" w:rsidRPr="000A0BDC" w:rsidRDefault="000A0BDC" w:rsidP="00593343">
            <w:pPr>
              <w:jc w:val="center"/>
              <w:rPr>
                <w:b/>
                <w:sz w:val="28"/>
                <w:szCs w:val="28"/>
              </w:rPr>
            </w:pPr>
          </w:p>
        </w:tc>
      </w:tr>
      <w:tr w:rsidR="00A80941" w:rsidRPr="000A0BDC" w14:paraId="229FC3A4" w14:textId="77777777" w:rsidTr="00A80941">
        <w:tc>
          <w:tcPr>
            <w:tcW w:w="3505" w:type="dxa"/>
          </w:tcPr>
          <w:p w14:paraId="34794F9F" w14:textId="1C833E5C" w:rsidR="000A0BDC" w:rsidRPr="000A0BDC" w:rsidRDefault="000A0BDC" w:rsidP="003A07C6">
            <w:pPr>
              <w:rPr>
                <w:b/>
                <w:sz w:val="28"/>
                <w:szCs w:val="28"/>
              </w:rPr>
            </w:pPr>
            <w:r w:rsidRPr="000A0BDC">
              <w:rPr>
                <w:b/>
                <w:sz w:val="28"/>
                <w:szCs w:val="28"/>
              </w:rPr>
              <w:lastRenderedPageBreak/>
              <w:t xml:space="preserve">STRONG AND ENGAGED SITE LEADERSHIP:  </w:t>
            </w:r>
          </w:p>
          <w:p w14:paraId="2CF056A3" w14:textId="77777777" w:rsidR="000A0BDC" w:rsidRPr="000A0BDC" w:rsidRDefault="000A0BDC" w:rsidP="003A07C6">
            <w:pPr>
              <w:rPr>
                <w:rFonts w:ascii="Times New Roman" w:eastAsia="Times New Roman" w:hAnsi="Times New Roman" w:cs="Times New Roman"/>
                <w:sz w:val="28"/>
                <w:szCs w:val="28"/>
              </w:rPr>
            </w:pPr>
            <w:r w:rsidRPr="003A07C6">
              <w:rPr>
                <w:rFonts w:ascii="HelveticaNeue" w:eastAsia="Times New Roman" w:hAnsi="HelveticaNeue" w:cs="Times New Roman"/>
                <w:color w:val="252F35"/>
                <w:sz w:val="28"/>
                <w:szCs w:val="28"/>
                <w:shd w:val="clear" w:color="auto" w:fill="FFFFFF"/>
              </w:rPr>
              <w:t>Strong and Engaged Site Leadership is the foundation for implementing, transforming, and sustaining systems throughout a school. The principal and leadership team empower educators and families to contribute to core school decisions to improve teaching and learning.</w:t>
            </w:r>
          </w:p>
        </w:tc>
        <w:tc>
          <w:tcPr>
            <w:tcW w:w="7200" w:type="dxa"/>
          </w:tcPr>
          <w:p w14:paraId="3EC231CD" w14:textId="77777777" w:rsidR="005B4FF4" w:rsidRPr="005E585F" w:rsidRDefault="005B4FF4" w:rsidP="00A80941">
            <w:pPr>
              <w:pStyle w:val="ListParagraph"/>
              <w:numPr>
                <w:ilvl w:val="0"/>
                <w:numId w:val="3"/>
              </w:numPr>
              <w:ind w:left="256" w:hanging="270"/>
              <w:rPr>
                <w:sz w:val="28"/>
                <w:szCs w:val="28"/>
              </w:rPr>
            </w:pPr>
            <w:r w:rsidRPr="005E585F">
              <w:rPr>
                <w:sz w:val="28"/>
                <w:szCs w:val="28"/>
              </w:rPr>
              <w:t>Leadership team meets regularly</w:t>
            </w:r>
          </w:p>
          <w:p w14:paraId="3AFD4EE7" w14:textId="77777777" w:rsidR="005B4FF4" w:rsidRPr="005E585F" w:rsidRDefault="005B4FF4" w:rsidP="00A80941">
            <w:pPr>
              <w:pStyle w:val="ListParagraph"/>
              <w:numPr>
                <w:ilvl w:val="0"/>
                <w:numId w:val="3"/>
              </w:numPr>
              <w:ind w:left="256" w:hanging="270"/>
              <w:rPr>
                <w:sz w:val="28"/>
                <w:szCs w:val="28"/>
              </w:rPr>
            </w:pPr>
            <w:r w:rsidRPr="005E585F">
              <w:rPr>
                <w:sz w:val="28"/>
                <w:szCs w:val="28"/>
              </w:rPr>
              <w:t>Leadership team coaches and trains teachers</w:t>
            </w:r>
          </w:p>
          <w:p w14:paraId="22C8CE0F" w14:textId="77777777" w:rsidR="005B4FF4" w:rsidRPr="005E585F" w:rsidRDefault="005B4FF4" w:rsidP="00A80941">
            <w:pPr>
              <w:pStyle w:val="ListParagraph"/>
              <w:numPr>
                <w:ilvl w:val="0"/>
                <w:numId w:val="3"/>
              </w:numPr>
              <w:ind w:left="256" w:hanging="270"/>
              <w:rPr>
                <w:sz w:val="28"/>
                <w:szCs w:val="28"/>
              </w:rPr>
            </w:pPr>
            <w:r w:rsidRPr="005E585F">
              <w:rPr>
                <w:sz w:val="28"/>
                <w:szCs w:val="28"/>
              </w:rPr>
              <w:t>Leadership team reflects a variety of grade and content levels</w:t>
            </w:r>
          </w:p>
          <w:p w14:paraId="2D3367A4" w14:textId="1C2BF6B5" w:rsidR="00AB2BD9" w:rsidRPr="00A80941" w:rsidRDefault="005B4FF4" w:rsidP="00A80941">
            <w:pPr>
              <w:pStyle w:val="ListParagraph"/>
              <w:numPr>
                <w:ilvl w:val="0"/>
                <w:numId w:val="3"/>
              </w:numPr>
              <w:ind w:left="256" w:hanging="270"/>
              <w:rPr>
                <w:sz w:val="28"/>
                <w:szCs w:val="28"/>
              </w:rPr>
            </w:pPr>
            <w:r w:rsidRPr="005E585F">
              <w:rPr>
                <w:sz w:val="28"/>
                <w:szCs w:val="28"/>
              </w:rPr>
              <w:t>Leadership team regularly reviews student data</w:t>
            </w:r>
            <w:r w:rsidR="00A80941">
              <w:rPr>
                <w:sz w:val="28"/>
                <w:szCs w:val="28"/>
              </w:rPr>
              <w:t xml:space="preserve"> and uses it to m</w:t>
            </w:r>
            <w:r w:rsidRPr="00A80941">
              <w:rPr>
                <w:sz w:val="28"/>
                <w:szCs w:val="28"/>
              </w:rPr>
              <w:t>ake decisions such as areas of professional development and resource allotment</w:t>
            </w:r>
          </w:p>
          <w:p w14:paraId="281BD353" w14:textId="77777777" w:rsidR="005B4FF4" w:rsidRPr="005E585F" w:rsidRDefault="005B4FF4" w:rsidP="00A80941">
            <w:pPr>
              <w:pStyle w:val="ListParagraph"/>
              <w:numPr>
                <w:ilvl w:val="0"/>
                <w:numId w:val="3"/>
              </w:numPr>
              <w:ind w:left="256" w:hanging="270"/>
              <w:rPr>
                <w:sz w:val="28"/>
                <w:szCs w:val="28"/>
              </w:rPr>
            </w:pPr>
            <w:r w:rsidRPr="005E585F">
              <w:rPr>
                <w:sz w:val="28"/>
                <w:szCs w:val="28"/>
              </w:rPr>
              <w:t>Team meetings are structured so that educator</w:t>
            </w:r>
            <w:r>
              <w:rPr>
                <w:sz w:val="28"/>
                <w:szCs w:val="28"/>
              </w:rPr>
              <w:t>s and other team members can con</w:t>
            </w:r>
            <w:r w:rsidRPr="005E585F">
              <w:rPr>
                <w:sz w:val="28"/>
                <w:szCs w:val="28"/>
              </w:rPr>
              <w:t>tribute to decisions and school practices</w:t>
            </w:r>
          </w:p>
          <w:p w14:paraId="4E86DB56" w14:textId="77777777" w:rsidR="005B4FF4" w:rsidRPr="005E585F" w:rsidRDefault="005B4FF4" w:rsidP="00A80941">
            <w:pPr>
              <w:pStyle w:val="ListParagraph"/>
              <w:numPr>
                <w:ilvl w:val="0"/>
                <w:numId w:val="3"/>
              </w:numPr>
              <w:ind w:left="256" w:hanging="270"/>
              <w:rPr>
                <w:sz w:val="28"/>
                <w:szCs w:val="28"/>
              </w:rPr>
            </w:pPr>
            <w:r w:rsidRPr="005E585F">
              <w:rPr>
                <w:sz w:val="28"/>
                <w:szCs w:val="28"/>
              </w:rPr>
              <w:t>Leadership team is easy for educators to access</w:t>
            </w:r>
          </w:p>
          <w:p w14:paraId="7358D121" w14:textId="77777777" w:rsidR="005B4FF4" w:rsidRPr="0001793B" w:rsidRDefault="005B4FF4" w:rsidP="00A80941">
            <w:pPr>
              <w:pStyle w:val="ListParagraph"/>
              <w:numPr>
                <w:ilvl w:val="0"/>
                <w:numId w:val="3"/>
              </w:numPr>
              <w:ind w:left="256" w:hanging="270"/>
              <w:rPr>
                <w:sz w:val="28"/>
                <w:szCs w:val="28"/>
              </w:rPr>
            </w:pPr>
            <w:r w:rsidRPr="0001793B">
              <w:rPr>
                <w:sz w:val="28"/>
                <w:szCs w:val="28"/>
              </w:rPr>
              <w:t>Interventions are structured to incorporate both parent and student perspectives as well as assessment data</w:t>
            </w:r>
          </w:p>
          <w:p w14:paraId="315BE363" w14:textId="77777777" w:rsidR="005B4FF4" w:rsidRPr="0001793B" w:rsidRDefault="005B4FF4" w:rsidP="00A80941">
            <w:pPr>
              <w:pStyle w:val="ListParagraph"/>
              <w:numPr>
                <w:ilvl w:val="0"/>
                <w:numId w:val="3"/>
              </w:numPr>
              <w:ind w:left="256" w:hanging="270"/>
              <w:rPr>
                <w:sz w:val="28"/>
                <w:szCs w:val="28"/>
              </w:rPr>
            </w:pPr>
            <w:r w:rsidRPr="0001793B">
              <w:rPr>
                <w:sz w:val="28"/>
                <w:szCs w:val="28"/>
              </w:rPr>
              <w:t>Interventions are modified regularly based on outcomes and input from all stakeholders</w:t>
            </w:r>
          </w:p>
          <w:p w14:paraId="04B70119" w14:textId="77777777" w:rsidR="005B4FF4" w:rsidRPr="0001793B" w:rsidRDefault="005B4FF4" w:rsidP="00A80941">
            <w:pPr>
              <w:pStyle w:val="ListParagraph"/>
              <w:numPr>
                <w:ilvl w:val="0"/>
                <w:numId w:val="3"/>
              </w:numPr>
              <w:ind w:left="256" w:hanging="270"/>
              <w:rPr>
                <w:sz w:val="28"/>
                <w:szCs w:val="28"/>
              </w:rPr>
            </w:pPr>
            <w:r w:rsidRPr="0001793B">
              <w:rPr>
                <w:sz w:val="28"/>
                <w:szCs w:val="28"/>
              </w:rPr>
              <w:t>Action plans are based on data and modified when the data changes</w:t>
            </w:r>
          </w:p>
          <w:p w14:paraId="1B3876D2" w14:textId="45512E46" w:rsidR="005B4FF4" w:rsidRPr="005B4FF4" w:rsidRDefault="005B4FF4" w:rsidP="00A80941">
            <w:pPr>
              <w:pStyle w:val="ListParagraph"/>
              <w:numPr>
                <w:ilvl w:val="0"/>
                <w:numId w:val="3"/>
              </w:numPr>
              <w:ind w:left="256" w:hanging="270"/>
              <w:rPr>
                <w:sz w:val="28"/>
                <w:szCs w:val="28"/>
              </w:rPr>
            </w:pPr>
            <w:r w:rsidRPr="0001793B">
              <w:rPr>
                <w:sz w:val="28"/>
                <w:szCs w:val="28"/>
              </w:rPr>
              <w:t>School uses all levels of outcome data (individual, classroom, grade level, student subgroups) to make instructional decisions</w:t>
            </w:r>
          </w:p>
        </w:tc>
        <w:tc>
          <w:tcPr>
            <w:tcW w:w="3772" w:type="dxa"/>
          </w:tcPr>
          <w:p w14:paraId="60331454" w14:textId="77777777" w:rsidR="000A0BDC" w:rsidRPr="000A0BDC" w:rsidRDefault="000A0BDC" w:rsidP="00593343">
            <w:pPr>
              <w:jc w:val="center"/>
              <w:rPr>
                <w:b/>
                <w:sz w:val="28"/>
                <w:szCs w:val="28"/>
              </w:rPr>
            </w:pPr>
          </w:p>
        </w:tc>
      </w:tr>
    </w:tbl>
    <w:p w14:paraId="507BF47D" w14:textId="77777777" w:rsidR="00A80941" w:rsidRDefault="00A80941">
      <w:r>
        <w:br w:type="page"/>
      </w:r>
    </w:p>
    <w:tbl>
      <w:tblPr>
        <w:tblStyle w:val="TableGrid"/>
        <w:tblW w:w="14477" w:type="dxa"/>
        <w:tblLook w:val="04A0" w:firstRow="1" w:lastRow="0" w:firstColumn="1" w:lastColumn="0" w:noHBand="0" w:noVBand="1"/>
      </w:tblPr>
      <w:tblGrid>
        <w:gridCol w:w="3235"/>
        <w:gridCol w:w="7470"/>
        <w:gridCol w:w="3772"/>
      </w:tblGrid>
      <w:tr w:rsidR="00A80941" w:rsidRPr="000A0BDC" w14:paraId="1600122B" w14:textId="77777777" w:rsidTr="00A80941">
        <w:tc>
          <w:tcPr>
            <w:tcW w:w="3235" w:type="dxa"/>
          </w:tcPr>
          <w:p w14:paraId="66213E59" w14:textId="5613CBBD" w:rsidR="000A0BDC" w:rsidRPr="000A0BDC" w:rsidRDefault="000A0BDC" w:rsidP="003A07C6">
            <w:pPr>
              <w:shd w:val="clear" w:color="auto" w:fill="FFFFFF"/>
              <w:rPr>
                <w:rFonts w:ascii="HelveticaNeue" w:hAnsi="HelveticaNeue" w:cs="Times New Roman"/>
                <w:b/>
                <w:color w:val="252F35"/>
                <w:sz w:val="28"/>
                <w:szCs w:val="28"/>
              </w:rPr>
            </w:pPr>
            <w:r w:rsidRPr="000A0BDC">
              <w:rPr>
                <w:rFonts w:ascii="HelveticaNeue" w:hAnsi="HelveticaNeue" w:cs="Times New Roman"/>
                <w:b/>
                <w:color w:val="252F35"/>
                <w:sz w:val="28"/>
                <w:szCs w:val="28"/>
              </w:rPr>
              <w:lastRenderedPageBreak/>
              <w:t xml:space="preserve">STRONG EDUCATOR SUPPORT SYSTEM:  </w:t>
            </w:r>
          </w:p>
          <w:p w14:paraId="2461B905" w14:textId="77777777" w:rsidR="000A0BDC" w:rsidRPr="000A0BDC" w:rsidRDefault="000A0BDC" w:rsidP="003A07C6">
            <w:pPr>
              <w:shd w:val="clear" w:color="auto" w:fill="FFFFFF"/>
              <w:rPr>
                <w:rFonts w:ascii="HelveticaNeue" w:hAnsi="HelveticaNeue" w:cs="Times New Roman"/>
                <w:b/>
                <w:color w:val="252F35"/>
                <w:sz w:val="28"/>
                <w:szCs w:val="28"/>
              </w:rPr>
            </w:pPr>
            <w:r w:rsidRPr="003A07C6">
              <w:rPr>
                <w:rFonts w:ascii="HelveticaNeue" w:hAnsi="HelveticaNeue" w:cs="Times New Roman"/>
                <w:color w:val="252F35"/>
                <w:sz w:val="28"/>
                <w:szCs w:val="28"/>
              </w:rPr>
              <w:t>A Strong Educator Support System provides the structures that enable educators to constantly improve their practices. Instructional supports may include professional learning, instructional coaching and supportive, useful evaluation with a focus on building knowledge and skills.</w:t>
            </w:r>
          </w:p>
        </w:tc>
        <w:tc>
          <w:tcPr>
            <w:tcW w:w="7470" w:type="dxa"/>
          </w:tcPr>
          <w:p w14:paraId="31441BA9" w14:textId="77777777" w:rsidR="005B4FF4" w:rsidRDefault="005B4FF4" w:rsidP="005B4FF4">
            <w:pPr>
              <w:pStyle w:val="ListParagraph"/>
              <w:numPr>
                <w:ilvl w:val="0"/>
                <w:numId w:val="2"/>
              </w:numPr>
              <w:rPr>
                <w:sz w:val="28"/>
                <w:szCs w:val="28"/>
              </w:rPr>
            </w:pPr>
            <w:r>
              <w:rPr>
                <w:sz w:val="28"/>
                <w:szCs w:val="28"/>
              </w:rPr>
              <w:t>School has time set aside for planning among teaching pairs and groups including specialized educators</w:t>
            </w:r>
          </w:p>
          <w:p w14:paraId="69FC8904" w14:textId="77777777" w:rsidR="005B4FF4" w:rsidRPr="005E585F" w:rsidRDefault="005B4FF4" w:rsidP="005B4FF4">
            <w:pPr>
              <w:pStyle w:val="ListParagraph"/>
              <w:numPr>
                <w:ilvl w:val="0"/>
                <w:numId w:val="2"/>
              </w:numPr>
              <w:rPr>
                <w:sz w:val="28"/>
                <w:szCs w:val="28"/>
              </w:rPr>
            </w:pPr>
            <w:r w:rsidRPr="005E585F">
              <w:rPr>
                <w:sz w:val="28"/>
                <w:szCs w:val="28"/>
              </w:rPr>
              <w:t>Leadership supports a constant culture of teaching and learning improvement, including improvement for administrators through participation i</w:t>
            </w:r>
            <w:r>
              <w:rPr>
                <w:sz w:val="28"/>
                <w:szCs w:val="28"/>
              </w:rPr>
              <w:t>n team meetings, classroom walkt</w:t>
            </w:r>
            <w:r w:rsidRPr="005E585F">
              <w:rPr>
                <w:sz w:val="28"/>
                <w:szCs w:val="28"/>
              </w:rPr>
              <w:t>h</w:t>
            </w:r>
            <w:r>
              <w:rPr>
                <w:sz w:val="28"/>
                <w:szCs w:val="28"/>
              </w:rPr>
              <w:t>r</w:t>
            </w:r>
            <w:r w:rsidRPr="005E585F">
              <w:rPr>
                <w:sz w:val="28"/>
                <w:szCs w:val="28"/>
              </w:rPr>
              <w:t xml:space="preserve">oughs, and other activities that promote instructional outcomes. </w:t>
            </w:r>
          </w:p>
          <w:p w14:paraId="2458047D" w14:textId="77777777" w:rsidR="005B4FF4" w:rsidRDefault="005B4FF4" w:rsidP="005B4FF4">
            <w:pPr>
              <w:pStyle w:val="ListParagraph"/>
              <w:numPr>
                <w:ilvl w:val="0"/>
                <w:numId w:val="2"/>
              </w:numPr>
              <w:rPr>
                <w:sz w:val="28"/>
                <w:szCs w:val="28"/>
              </w:rPr>
            </w:pPr>
            <w:r>
              <w:rPr>
                <w:sz w:val="28"/>
                <w:szCs w:val="28"/>
              </w:rPr>
              <w:t>School supports proactive mentoring and coaching for all educators in all subject areas</w:t>
            </w:r>
          </w:p>
          <w:p w14:paraId="5FB0FD55" w14:textId="77777777" w:rsidR="005B4FF4" w:rsidRDefault="005B4FF4" w:rsidP="005B4FF4">
            <w:pPr>
              <w:pStyle w:val="ListParagraph"/>
              <w:numPr>
                <w:ilvl w:val="0"/>
                <w:numId w:val="2"/>
              </w:numPr>
              <w:rPr>
                <w:sz w:val="28"/>
                <w:szCs w:val="28"/>
              </w:rPr>
            </w:pPr>
            <w:r>
              <w:rPr>
                <w:sz w:val="28"/>
                <w:szCs w:val="28"/>
              </w:rPr>
              <w:t>If requested, educator supports (PD, resource delivery etc.) occur within 3 months of the request</w:t>
            </w:r>
          </w:p>
          <w:p w14:paraId="23F3A27D" w14:textId="77777777" w:rsidR="005B4FF4" w:rsidRDefault="005B4FF4" w:rsidP="005B4FF4">
            <w:pPr>
              <w:pStyle w:val="ListParagraph"/>
              <w:numPr>
                <w:ilvl w:val="0"/>
                <w:numId w:val="2"/>
              </w:numPr>
              <w:rPr>
                <w:sz w:val="28"/>
                <w:szCs w:val="28"/>
              </w:rPr>
            </w:pPr>
            <w:r>
              <w:rPr>
                <w:sz w:val="28"/>
                <w:szCs w:val="28"/>
              </w:rPr>
              <w:t>Leadership team uses educator feedback to choose new resources or curricula</w:t>
            </w:r>
            <w:bookmarkStart w:id="0" w:name="_GoBack"/>
            <w:bookmarkEnd w:id="0"/>
          </w:p>
          <w:p w14:paraId="54AD4B82" w14:textId="77777777" w:rsidR="005B4FF4" w:rsidRDefault="005B4FF4" w:rsidP="005B4FF4">
            <w:pPr>
              <w:pStyle w:val="ListParagraph"/>
              <w:numPr>
                <w:ilvl w:val="0"/>
                <w:numId w:val="2"/>
              </w:numPr>
              <w:rPr>
                <w:sz w:val="28"/>
                <w:szCs w:val="28"/>
              </w:rPr>
            </w:pPr>
            <w:r>
              <w:rPr>
                <w:sz w:val="28"/>
                <w:szCs w:val="28"/>
              </w:rPr>
              <w:t>Educators report feeling like they have enough supports for quality instruction</w:t>
            </w:r>
          </w:p>
          <w:p w14:paraId="089F0B80" w14:textId="77777777" w:rsidR="00860488" w:rsidRDefault="005B4FF4" w:rsidP="005B4FF4">
            <w:pPr>
              <w:pStyle w:val="ListParagraph"/>
              <w:numPr>
                <w:ilvl w:val="0"/>
                <w:numId w:val="2"/>
              </w:numPr>
              <w:rPr>
                <w:sz w:val="28"/>
                <w:szCs w:val="28"/>
              </w:rPr>
            </w:pPr>
            <w:r>
              <w:rPr>
                <w:sz w:val="28"/>
                <w:szCs w:val="28"/>
              </w:rPr>
              <w:t>Educator evaluation system uses multiple sources of data and provides useful, actionable feedback.</w:t>
            </w:r>
          </w:p>
          <w:p w14:paraId="5403C2BE" w14:textId="02252115" w:rsidR="005B4FF4" w:rsidRPr="00A80941" w:rsidRDefault="005B4FF4" w:rsidP="00A80941">
            <w:pPr>
              <w:pStyle w:val="ListParagraph"/>
              <w:numPr>
                <w:ilvl w:val="0"/>
                <w:numId w:val="2"/>
              </w:numPr>
              <w:ind w:left="697"/>
              <w:rPr>
                <w:sz w:val="28"/>
                <w:szCs w:val="28"/>
              </w:rPr>
            </w:pPr>
            <w:r w:rsidRPr="0001793B">
              <w:rPr>
                <w:sz w:val="28"/>
                <w:szCs w:val="28"/>
              </w:rPr>
              <w:t>School monitors the implementation of instructional practices and uses fidelity data to assess the effectiveness of interventions</w:t>
            </w:r>
          </w:p>
        </w:tc>
        <w:tc>
          <w:tcPr>
            <w:tcW w:w="3772" w:type="dxa"/>
          </w:tcPr>
          <w:p w14:paraId="2F52C944" w14:textId="77777777" w:rsidR="000A0BDC" w:rsidRPr="000A0BDC" w:rsidRDefault="000A0BDC" w:rsidP="00593343">
            <w:pPr>
              <w:jc w:val="center"/>
              <w:rPr>
                <w:b/>
                <w:sz w:val="28"/>
                <w:szCs w:val="28"/>
              </w:rPr>
            </w:pPr>
          </w:p>
        </w:tc>
      </w:tr>
      <w:tr w:rsidR="00A80941" w:rsidRPr="000A0BDC" w14:paraId="0849926B" w14:textId="77777777" w:rsidTr="00A80941">
        <w:tc>
          <w:tcPr>
            <w:tcW w:w="3235" w:type="dxa"/>
          </w:tcPr>
          <w:p w14:paraId="1BC5B4A5" w14:textId="14FBC7BC" w:rsidR="000A0BDC" w:rsidRPr="000A0BDC" w:rsidRDefault="000A0BDC" w:rsidP="003A07C6">
            <w:pPr>
              <w:rPr>
                <w:rFonts w:ascii="HelveticaNeue" w:eastAsia="Times New Roman" w:hAnsi="HelveticaNeue" w:cs="Times New Roman"/>
                <w:b/>
                <w:color w:val="252F35"/>
                <w:sz w:val="28"/>
                <w:szCs w:val="28"/>
                <w:shd w:val="clear" w:color="auto" w:fill="FFFFFF"/>
              </w:rPr>
            </w:pPr>
            <w:r w:rsidRPr="000A0BDC">
              <w:rPr>
                <w:rFonts w:ascii="HelveticaNeue" w:eastAsia="Times New Roman" w:hAnsi="HelveticaNeue" w:cs="Times New Roman"/>
                <w:b/>
                <w:color w:val="252F35"/>
                <w:sz w:val="28"/>
                <w:szCs w:val="28"/>
                <w:shd w:val="clear" w:color="auto" w:fill="FFFFFF"/>
              </w:rPr>
              <w:t xml:space="preserve">FULLY INTEGRATED ORGANIZATIONAL STRUCTURE:  </w:t>
            </w:r>
          </w:p>
          <w:p w14:paraId="0AAFDA30" w14:textId="77777777" w:rsidR="000A0BDC" w:rsidRPr="000A0BDC" w:rsidRDefault="000A0BDC" w:rsidP="003A07C6">
            <w:pPr>
              <w:rPr>
                <w:rFonts w:ascii="Times New Roman" w:eastAsia="Times New Roman" w:hAnsi="Times New Roman" w:cs="Times New Roman"/>
                <w:sz w:val="28"/>
                <w:szCs w:val="28"/>
              </w:rPr>
            </w:pPr>
            <w:r w:rsidRPr="000A0BDC">
              <w:rPr>
                <w:rFonts w:ascii="HelveticaNeue" w:eastAsia="Times New Roman" w:hAnsi="HelveticaNeue" w:cs="Times New Roman"/>
                <w:color w:val="252F35"/>
                <w:sz w:val="28"/>
                <w:szCs w:val="28"/>
                <w:shd w:val="clear" w:color="auto" w:fill="FFFFFF"/>
              </w:rPr>
              <w:t>F</w:t>
            </w:r>
            <w:r w:rsidRPr="003A07C6">
              <w:rPr>
                <w:rFonts w:ascii="HelveticaNeue" w:eastAsia="Times New Roman" w:hAnsi="HelveticaNeue" w:cs="Times New Roman"/>
                <w:color w:val="252F35"/>
                <w:sz w:val="28"/>
                <w:szCs w:val="28"/>
                <w:shd w:val="clear" w:color="auto" w:fill="FFFFFF"/>
              </w:rPr>
              <w:t xml:space="preserve">ull participation in the general education curriculum for all students.  All students participate in the general education curriculum instruction and activities of their </w:t>
            </w:r>
            <w:r w:rsidRPr="003A07C6">
              <w:rPr>
                <w:rFonts w:ascii="HelveticaNeue" w:eastAsia="Times New Roman" w:hAnsi="HelveticaNeue" w:cs="Times New Roman"/>
                <w:color w:val="252F35"/>
                <w:sz w:val="28"/>
                <w:szCs w:val="28"/>
                <w:shd w:val="clear" w:color="auto" w:fill="FFFFFF"/>
              </w:rPr>
              <w:lastRenderedPageBreak/>
              <w:t xml:space="preserve">grade level peers, and schools embrace ways to redefine roles of </w:t>
            </w:r>
            <w:proofErr w:type="spellStart"/>
            <w:r w:rsidRPr="003A07C6">
              <w:rPr>
                <w:rFonts w:ascii="HelveticaNeue" w:eastAsia="Times New Roman" w:hAnsi="HelveticaNeue" w:cs="Times New Roman"/>
                <w:color w:val="252F35"/>
                <w:sz w:val="28"/>
                <w:szCs w:val="28"/>
                <w:shd w:val="clear" w:color="auto" w:fill="FFFFFF"/>
              </w:rPr>
              <w:t>paraeducators</w:t>
            </w:r>
            <w:proofErr w:type="spellEnd"/>
            <w:r w:rsidRPr="003A07C6">
              <w:rPr>
                <w:rFonts w:ascii="HelveticaNeue" w:eastAsia="Times New Roman" w:hAnsi="HelveticaNeue" w:cs="Times New Roman"/>
                <w:color w:val="252F35"/>
                <w:sz w:val="28"/>
                <w:szCs w:val="28"/>
                <w:shd w:val="clear" w:color="auto" w:fill="FFFFFF"/>
              </w:rPr>
              <w:t xml:space="preserve"> and teaching assistants to support all students.</w:t>
            </w:r>
          </w:p>
        </w:tc>
        <w:tc>
          <w:tcPr>
            <w:tcW w:w="7470" w:type="dxa"/>
          </w:tcPr>
          <w:p w14:paraId="1CC190D1" w14:textId="77777777" w:rsidR="005B4FF4" w:rsidRDefault="005B4FF4" w:rsidP="005B4FF4">
            <w:pPr>
              <w:pStyle w:val="ListParagraph"/>
              <w:numPr>
                <w:ilvl w:val="0"/>
                <w:numId w:val="4"/>
              </w:numPr>
              <w:rPr>
                <w:sz w:val="28"/>
                <w:szCs w:val="28"/>
              </w:rPr>
            </w:pPr>
            <w:r w:rsidRPr="0001793B">
              <w:rPr>
                <w:sz w:val="28"/>
                <w:szCs w:val="28"/>
              </w:rPr>
              <w:lastRenderedPageBreak/>
              <w:t>General educators are responsible for all students in their class including students with IEPs and all students with IEPs are included in general education with the assistance of peer-assisted learning or co-teaching</w:t>
            </w:r>
          </w:p>
          <w:p w14:paraId="6613B2DC" w14:textId="75B844C2" w:rsidR="005B4FF4" w:rsidRPr="005B4FF4" w:rsidRDefault="005B4FF4" w:rsidP="005B4FF4">
            <w:pPr>
              <w:pStyle w:val="ListParagraph"/>
              <w:numPr>
                <w:ilvl w:val="0"/>
                <w:numId w:val="4"/>
              </w:numPr>
              <w:rPr>
                <w:sz w:val="28"/>
                <w:szCs w:val="28"/>
              </w:rPr>
            </w:pPr>
            <w:r>
              <w:rPr>
                <w:sz w:val="28"/>
                <w:szCs w:val="28"/>
              </w:rPr>
              <w:t>Teaching teams have shared agendas, clear assignments, note for actions to be taken and follow-up on actions.</w:t>
            </w:r>
          </w:p>
          <w:p w14:paraId="646BA38E" w14:textId="78341524" w:rsidR="008150CE" w:rsidRPr="00C7531A" w:rsidRDefault="005B4FF4" w:rsidP="005B4FF4">
            <w:pPr>
              <w:pStyle w:val="ListParagraph"/>
              <w:numPr>
                <w:ilvl w:val="0"/>
                <w:numId w:val="4"/>
              </w:numPr>
              <w:rPr>
                <w:sz w:val="28"/>
                <w:szCs w:val="28"/>
              </w:rPr>
            </w:pPr>
            <w:r>
              <w:rPr>
                <w:sz w:val="28"/>
                <w:szCs w:val="28"/>
              </w:rPr>
              <w:t>A</w:t>
            </w:r>
            <w:r w:rsidRPr="0001793B">
              <w:rPr>
                <w:sz w:val="28"/>
                <w:szCs w:val="28"/>
              </w:rPr>
              <w:t>ll adults regardless of title are responsible for all students academic and behavioral outcomes with a formal policy or job description</w:t>
            </w:r>
          </w:p>
          <w:p w14:paraId="3C10723B" w14:textId="7CA50679" w:rsidR="005B4FF4" w:rsidRPr="005E585F" w:rsidRDefault="005B4FF4" w:rsidP="005B4FF4">
            <w:pPr>
              <w:pStyle w:val="ListParagraph"/>
              <w:numPr>
                <w:ilvl w:val="0"/>
                <w:numId w:val="4"/>
              </w:numPr>
              <w:rPr>
                <w:sz w:val="28"/>
                <w:szCs w:val="28"/>
              </w:rPr>
            </w:pPr>
            <w:r>
              <w:rPr>
                <w:sz w:val="28"/>
                <w:szCs w:val="28"/>
              </w:rPr>
              <w:t>Para</w:t>
            </w:r>
            <w:r w:rsidR="00A80941">
              <w:rPr>
                <w:sz w:val="28"/>
                <w:szCs w:val="28"/>
              </w:rPr>
              <w:t>-</w:t>
            </w:r>
            <w:r>
              <w:rPr>
                <w:sz w:val="28"/>
                <w:szCs w:val="28"/>
              </w:rPr>
              <w:t>educators</w:t>
            </w:r>
            <w:r w:rsidRPr="005E585F">
              <w:rPr>
                <w:sz w:val="28"/>
                <w:szCs w:val="28"/>
              </w:rPr>
              <w:t xml:space="preserve"> are engaged with students</w:t>
            </w:r>
          </w:p>
          <w:p w14:paraId="1752186A" w14:textId="63E0469F" w:rsidR="00860488" w:rsidRPr="005B4FF4" w:rsidRDefault="005B4FF4" w:rsidP="005B4FF4">
            <w:pPr>
              <w:pStyle w:val="ListParagraph"/>
              <w:numPr>
                <w:ilvl w:val="0"/>
                <w:numId w:val="4"/>
              </w:numPr>
              <w:rPr>
                <w:sz w:val="28"/>
                <w:szCs w:val="28"/>
              </w:rPr>
            </w:pPr>
            <w:r w:rsidRPr="0001793B">
              <w:rPr>
                <w:sz w:val="28"/>
                <w:szCs w:val="28"/>
              </w:rPr>
              <w:lastRenderedPageBreak/>
              <w:t>Both special educators and general educators are responsible for all students participating in grade level instruction</w:t>
            </w:r>
          </w:p>
        </w:tc>
        <w:tc>
          <w:tcPr>
            <w:tcW w:w="3772" w:type="dxa"/>
          </w:tcPr>
          <w:p w14:paraId="437F5E18" w14:textId="77777777" w:rsidR="000A0BDC" w:rsidRPr="000A0BDC" w:rsidRDefault="000A0BDC" w:rsidP="00593343">
            <w:pPr>
              <w:jc w:val="center"/>
              <w:rPr>
                <w:b/>
                <w:sz w:val="28"/>
                <w:szCs w:val="28"/>
              </w:rPr>
            </w:pPr>
          </w:p>
        </w:tc>
      </w:tr>
      <w:tr w:rsidR="00A80941" w:rsidRPr="000A0BDC" w14:paraId="64FD86CD" w14:textId="77777777" w:rsidTr="00A80941">
        <w:tc>
          <w:tcPr>
            <w:tcW w:w="3235" w:type="dxa"/>
          </w:tcPr>
          <w:p w14:paraId="0982C23B" w14:textId="60B6B868" w:rsidR="000A0BDC" w:rsidRPr="000A0BDC" w:rsidRDefault="000A0BDC" w:rsidP="003A07C6">
            <w:pPr>
              <w:rPr>
                <w:rFonts w:ascii="HelveticaNeue" w:eastAsia="Times New Roman" w:hAnsi="HelveticaNeue" w:cs="Times New Roman"/>
                <w:b/>
                <w:color w:val="252F35"/>
                <w:sz w:val="28"/>
                <w:szCs w:val="28"/>
                <w:shd w:val="clear" w:color="auto" w:fill="FFFFFF"/>
              </w:rPr>
            </w:pPr>
            <w:r w:rsidRPr="000A0BDC">
              <w:rPr>
                <w:rFonts w:ascii="HelveticaNeue" w:eastAsia="Times New Roman" w:hAnsi="HelveticaNeue" w:cs="Times New Roman"/>
                <w:b/>
                <w:color w:val="252F35"/>
                <w:sz w:val="28"/>
                <w:szCs w:val="28"/>
                <w:shd w:val="clear" w:color="auto" w:fill="FFFFFF"/>
              </w:rPr>
              <w:lastRenderedPageBreak/>
              <w:t>STRONG AND POSITIVE SCHOOL CULTURE</w:t>
            </w:r>
          </w:p>
          <w:p w14:paraId="7861FD1D" w14:textId="77777777" w:rsidR="000A0BDC" w:rsidRPr="000A0BDC" w:rsidRDefault="000A0BDC" w:rsidP="003A07C6">
            <w:pPr>
              <w:rPr>
                <w:rFonts w:ascii="Times New Roman" w:eastAsia="Times New Roman" w:hAnsi="Times New Roman" w:cs="Times New Roman"/>
                <w:sz w:val="28"/>
                <w:szCs w:val="28"/>
              </w:rPr>
            </w:pPr>
            <w:r w:rsidRPr="003A07C6">
              <w:rPr>
                <w:rFonts w:ascii="HelveticaNeue" w:eastAsia="Times New Roman" w:hAnsi="HelveticaNeue" w:cs="Times New Roman"/>
                <w:color w:val="252F35"/>
                <w:sz w:val="28"/>
                <w:szCs w:val="28"/>
                <w:shd w:val="clear" w:color="auto" w:fill="FFFFFF"/>
              </w:rPr>
              <w:t>A Strong and Positive School Culture creates an atmosphere in which everyone feels like they belong. Particularly, students have equal access to extracurricular learning activities with appropriate supports, and school personnel share responsibilities to educate all students.</w:t>
            </w:r>
          </w:p>
        </w:tc>
        <w:tc>
          <w:tcPr>
            <w:tcW w:w="7470" w:type="dxa"/>
          </w:tcPr>
          <w:p w14:paraId="02C09801" w14:textId="77777777" w:rsidR="005B4FF4" w:rsidRPr="0001793B" w:rsidRDefault="005B4FF4" w:rsidP="005B4FF4">
            <w:pPr>
              <w:pStyle w:val="ListParagraph"/>
              <w:numPr>
                <w:ilvl w:val="0"/>
                <w:numId w:val="6"/>
              </w:numPr>
              <w:rPr>
                <w:sz w:val="28"/>
                <w:szCs w:val="28"/>
              </w:rPr>
            </w:pPr>
            <w:r w:rsidRPr="0001793B">
              <w:rPr>
                <w:sz w:val="28"/>
                <w:szCs w:val="28"/>
              </w:rPr>
              <w:t>Our school uses collaborative planning and co-teaching to include more students in the core curriculum in ALL classrooms</w:t>
            </w:r>
          </w:p>
          <w:p w14:paraId="31941C08" w14:textId="77777777" w:rsidR="005B4FF4" w:rsidRPr="0001793B" w:rsidRDefault="005B4FF4" w:rsidP="005B4FF4">
            <w:pPr>
              <w:pStyle w:val="ListParagraph"/>
              <w:numPr>
                <w:ilvl w:val="0"/>
                <w:numId w:val="6"/>
              </w:numPr>
              <w:rPr>
                <w:sz w:val="28"/>
                <w:szCs w:val="28"/>
              </w:rPr>
            </w:pPr>
            <w:r w:rsidRPr="0001793B">
              <w:rPr>
                <w:sz w:val="28"/>
                <w:szCs w:val="28"/>
              </w:rPr>
              <w:t>Students with IEPs have equal opportunities to participate in extracurricular activities</w:t>
            </w:r>
          </w:p>
          <w:p w14:paraId="62383DC4" w14:textId="697F9740" w:rsidR="0001793B" w:rsidRPr="005B4FF4" w:rsidRDefault="00A80941" w:rsidP="005B4FF4">
            <w:pPr>
              <w:pStyle w:val="ListParagraph"/>
              <w:numPr>
                <w:ilvl w:val="0"/>
                <w:numId w:val="6"/>
              </w:numPr>
              <w:rPr>
                <w:sz w:val="28"/>
                <w:szCs w:val="28"/>
              </w:rPr>
            </w:pPr>
            <w:r>
              <w:rPr>
                <w:sz w:val="28"/>
                <w:szCs w:val="28"/>
              </w:rPr>
              <w:t>S</w:t>
            </w:r>
            <w:r w:rsidR="005B4FF4" w:rsidRPr="0001793B">
              <w:rPr>
                <w:sz w:val="28"/>
                <w:szCs w:val="28"/>
              </w:rPr>
              <w:t>chool assesses the status of culturally responsive practices and plans actions to improve it</w:t>
            </w:r>
          </w:p>
        </w:tc>
        <w:tc>
          <w:tcPr>
            <w:tcW w:w="3772" w:type="dxa"/>
          </w:tcPr>
          <w:p w14:paraId="22A66857" w14:textId="77777777" w:rsidR="000A0BDC" w:rsidRPr="000A0BDC" w:rsidRDefault="000A0BDC" w:rsidP="00593343">
            <w:pPr>
              <w:jc w:val="center"/>
              <w:rPr>
                <w:b/>
                <w:sz w:val="28"/>
                <w:szCs w:val="28"/>
              </w:rPr>
            </w:pPr>
          </w:p>
        </w:tc>
      </w:tr>
    </w:tbl>
    <w:p w14:paraId="6D296553" w14:textId="548841EC" w:rsidR="00593343" w:rsidRPr="000A0BDC" w:rsidRDefault="00593343" w:rsidP="00593343">
      <w:pPr>
        <w:jc w:val="center"/>
        <w:rPr>
          <w:b/>
          <w:sz w:val="28"/>
          <w:szCs w:val="28"/>
        </w:rPr>
      </w:pPr>
    </w:p>
    <w:sectPr w:rsidR="00593343" w:rsidRPr="000A0BDC" w:rsidSect="00A809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40848" w14:textId="77777777" w:rsidR="006F68B4" w:rsidRDefault="006F68B4" w:rsidP="003A07C6">
      <w:r>
        <w:separator/>
      </w:r>
    </w:p>
  </w:endnote>
  <w:endnote w:type="continuationSeparator" w:id="0">
    <w:p w14:paraId="51EF6405" w14:textId="77777777" w:rsidR="006F68B4" w:rsidRDefault="006F68B4" w:rsidP="003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66B7F" w14:textId="77777777" w:rsidR="006F68B4" w:rsidRDefault="006F68B4" w:rsidP="003A07C6">
      <w:r>
        <w:separator/>
      </w:r>
    </w:p>
  </w:footnote>
  <w:footnote w:type="continuationSeparator" w:id="0">
    <w:p w14:paraId="58B3A0BF" w14:textId="77777777" w:rsidR="006F68B4" w:rsidRDefault="006F68B4" w:rsidP="003A07C6">
      <w:r>
        <w:continuationSeparator/>
      </w:r>
    </w:p>
  </w:footnote>
  <w:footnote w:id="1">
    <w:p w14:paraId="16330249" w14:textId="77777777" w:rsidR="003A07C6" w:rsidRDefault="003A07C6">
      <w:pPr>
        <w:pStyle w:val="FootnoteText"/>
      </w:pPr>
      <w:r>
        <w:rPr>
          <w:rStyle w:val="FootnoteReference"/>
        </w:rPr>
        <w:footnoteRef/>
      </w:r>
      <w:r>
        <w:t xml:space="preserve"> Based on SWIFT Field Guide at www.swiftschools.org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8BB"/>
    <w:multiLevelType w:val="hybridMultilevel"/>
    <w:tmpl w:val="09D4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35C11"/>
    <w:multiLevelType w:val="hybridMultilevel"/>
    <w:tmpl w:val="A1D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16D34"/>
    <w:multiLevelType w:val="hybridMultilevel"/>
    <w:tmpl w:val="878E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A4B22"/>
    <w:multiLevelType w:val="hybridMultilevel"/>
    <w:tmpl w:val="3058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4076A"/>
    <w:multiLevelType w:val="hybridMultilevel"/>
    <w:tmpl w:val="2F0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645B3"/>
    <w:multiLevelType w:val="hybridMultilevel"/>
    <w:tmpl w:val="49EC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30DB9"/>
    <w:multiLevelType w:val="hybridMultilevel"/>
    <w:tmpl w:val="3CA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43"/>
    <w:rsid w:val="0001793B"/>
    <w:rsid w:val="000A0BDC"/>
    <w:rsid w:val="00263B9F"/>
    <w:rsid w:val="003A07C6"/>
    <w:rsid w:val="004A5463"/>
    <w:rsid w:val="00593343"/>
    <w:rsid w:val="005B4FF4"/>
    <w:rsid w:val="005E585F"/>
    <w:rsid w:val="006B7DF4"/>
    <w:rsid w:val="006D5029"/>
    <w:rsid w:val="006F68B4"/>
    <w:rsid w:val="0080396D"/>
    <w:rsid w:val="008150CE"/>
    <w:rsid w:val="00860488"/>
    <w:rsid w:val="00A45705"/>
    <w:rsid w:val="00A80941"/>
    <w:rsid w:val="00AB2BD9"/>
    <w:rsid w:val="00C7531A"/>
    <w:rsid w:val="00D43207"/>
    <w:rsid w:val="00DB269D"/>
    <w:rsid w:val="00EA6AFD"/>
    <w:rsid w:val="00F628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9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07C6"/>
  </w:style>
  <w:style w:type="character" w:customStyle="1" w:styleId="FootnoteTextChar">
    <w:name w:val="Footnote Text Char"/>
    <w:basedOn w:val="DefaultParagraphFont"/>
    <w:link w:val="FootnoteText"/>
    <w:uiPriority w:val="99"/>
    <w:rsid w:val="003A07C6"/>
  </w:style>
  <w:style w:type="character" w:styleId="FootnoteReference">
    <w:name w:val="footnote reference"/>
    <w:basedOn w:val="DefaultParagraphFont"/>
    <w:uiPriority w:val="99"/>
    <w:unhideWhenUsed/>
    <w:rsid w:val="003A07C6"/>
    <w:rPr>
      <w:vertAlign w:val="superscript"/>
    </w:rPr>
  </w:style>
  <w:style w:type="paragraph" w:styleId="ListParagraph">
    <w:name w:val="List Paragraph"/>
    <w:basedOn w:val="Normal"/>
    <w:uiPriority w:val="34"/>
    <w:qFormat/>
    <w:rsid w:val="00D43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0094">
      <w:bodyDiv w:val="1"/>
      <w:marLeft w:val="0"/>
      <w:marRight w:val="0"/>
      <w:marTop w:val="0"/>
      <w:marBottom w:val="0"/>
      <w:divBdr>
        <w:top w:val="none" w:sz="0" w:space="0" w:color="auto"/>
        <w:left w:val="none" w:sz="0" w:space="0" w:color="auto"/>
        <w:bottom w:val="none" w:sz="0" w:space="0" w:color="auto"/>
        <w:right w:val="none" w:sz="0" w:space="0" w:color="auto"/>
      </w:divBdr>
    </w:div>
    <w:div w:id="646200930">
      <w:bodyDiv w:val="1"/>
      <w:marLeft w:val="0"/>
      <w:marRight w:val="0"/>
      <w:marTop w:val="0"/>
      <w:marBottom w:val="0"/>
      <w:divBdr>
        <w:top w:val="none" w:sz="0" w:space="0" w:color="auto"/>
        <w:left w:val="none" w:sz="0" w:space="0" w:color="auto"/>
        <w:bottom w:val="none" w:sz="0" w:space="0" w:color="auto"/>
        <w:right w:val="none" w:sz="0" w:space="0" w:color="auto"/>
      </w:divBdr>
    </w:div>
    <w:div w:id="1026057400">
      <w:bodyDiv w:val="1"/>
      <w:marLeft w:val="0"/>
      <w:marRight w:val="0"/>
      <w:marTop w:val="0"/>
      <w:marBottom w:val="0"/>
      <w:divBdr>
        <w:top w:val="none" w:sz="0" w:space="0" w:color="auto"/>
        <w:left w:val="none" w:sz="0" w:space="0" w:color="auto"/>
        <w:bottom w:val="none" w:sz="0" w:space="0" w:color="auto"/>
        <w:right w:val="none" w:sz="0" w:space="0" w:color="auto"/>
      </w:divBdr>
      <w:divsChild>
        <w:div w:id="899368549">
          <w:marLeft w:val="0"/>
          <w:marRight w:val="0"/>
          <w:marTop w:val="0"/>
          <w:marBottom w:val="0"/>
          <w:divBdr>
            <w:top w:val="none" w:sz="0" w:space="0" w:color="auto"/>
            <w:left w:val="none" w:sz="0" w:space="0" w:color="auto"/>
            <w:bottom w:val="none" w:sz="0" w:space="0" w:color="auto"/>
            <w:right w:val="none" w:sz="0" w:space="0" w:color="auto"/>
          </w:divBdr>
          <w:divsChild>
            <w:div w:id="1802192315">
              <w:marLeft w:val="0"/>
              <w:marRight w:val="0"/>
              <w:marTop w:val="0"/>
              <w:marBottom w:val="0"/>
              <w:divBdr>
                <w:top w:val="none" w:sz="0" w:space="0" w:color="auto"/>
                <w:left w:val="none" w:sz="0" w:space="0" w:color="auto"/>
                <w:bottom w:val="none" w:sz="0" w:space="0" w:color="auto"/>
                <w:right w:val="none" w:sz="0" w:space="0" w:color="auto"/>
              </w:divBdr>
              <w:divsChild>
                <w:div w:id="5874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8928">
      <w:bodyDiv w:val="1"/>
      <w:marLeft w:val="0"/>
      <w:marRight w:val="0"/>
      <w:marTop w:val="0"/>
      <w:marBottom w:val="0"/>
      <w:divBdr>
        <w:top w:val="none" w:sz="0" w:space="0" w:color="auto"/>
        <w:left w:val="none" w:sz="0" w:space="0" w:color="auto"/>
        <w:bottom w:val="none" w:sz="0" w:space="0" w:color="auto"/>
        <w:right w:val="none" w:sz="0" w:space="0" w:color="auto"/>
      </w:divBdr>
      <w:divsChild>
        <w:div w:id="858278772">
          <w:marLeft w:val="0"/>
          <w:marRight w:val="0"/>
          <w:marTop w:val="0"/>
          <w:marBottom w:val="0"/>
          <w:divBdr>
            <w:top w:val="none" w:sz="0" w:space="0" w:color="auto"/>
            <w:left w:val="none" w:sz="0" w:space="0" w:color="auto"/>
            <w:bottom w:val="none" w:sz="0" w:space="0" w:color="auto"/>
            <w:right w:val="none" w:sz="0" w:space="0" w:color="auto"/>
          </w:divBdr>
          <w:divsChild>
            <w:div w:id="1589971057">
              <w:marLeft w:val="0"/>
              <w:marRight w:val="0"/>
              <w:marTop w:val="0"/>
              <w:marBottom w:val="0"/>
              <w:divBdr>
                <w:top w:val="none" w:sz="0" w:space="0" w:color="auto"/>
                <w:left w:val="none" w:sz="0" w:space="0" w:color="auto"/>
                <w:bottom w:val="none" w:sz="0" w:space="0" w:color="auto"/>
                <w:right w:val="none" w:sz="0" w:space="0" w:color="auto"/>
              </w:divBdr>
              <w:divsChild>
                <w:div w:id="1043138620">
                  <w:marLeft w:val="0"/>
                  <w:marRight w:val="0"/>
                  <w:marTop w:val="0"/>
                  <w:marBottom w:val="0"/>
                  <w:divBdr>
                    <w:top w:val="none" w:sz="0" w:space="0" w:color="auto"/>
                    <w:left w:val="none" w:sz="0" w:space="0" w:color="auto"/>
                    <w:bottom w:val="none" w:sz="0" w:space="0" w:color="auto"/>
                    <w:right w:val="none" w:sz="0" w:space="0" w:color="auto"/>
                  </w:divBdr>
                </w:div>
              </w:divsChild>
            </w:div>
            <w:div w:id="555775128">
              <w:marLeft w:val="0"/>
              <w:marRight w:val="0"/>
              <w:marTop w:val="0"/>
              <w:marBottom w:val="0"/>
              <w:divBdr>
                <w:top w:val="none" w:sz="0" w:space="0" w:color="auto"/>
                <w:left w:val="none" w:sz="0" w:space="0" w:color="auto"/>
                <w:bottom w:val="none" w:sz="0" w:space="0" w:color="auto"/>
                <w:right w:val="none" w:sz="0" w:space="0" w:color="auto"/>
              </w:divBdr>
              <w:divsChild>
                <w:div w:id="1582526399">
                  <w:marLeft w:val="0"/>
                  <w:marRight w:val="0"/>
                  <w:marTop w:val="0"/>
                  <w:marBottom w:val="0"/>
                  <w:divBdr>
                    <w:top w:val="none" w:sz="0" w:space="0" w:color="auto"/>
                    <w:left w:val="none" w:sz="0" w:space="0" w:color="auto"/>
                    <w:bottom w:val="none" w:sz="0" w:space="0" w:color="auto"/>
                    <w:right w:val="none" w:sz="0" w:space="0" w:color="auto"/>
                  </w:divBdr>
                </w:div>
              </w:divsChild>
            </w:div>
            <w:div w:id="1229922657">
              <w:marLeft w:val="0"/>
              <w:marRight w:val="0"/>
              <w:marTop w:val="0"/>
              <w:marBottom w:val="0"/>
              <w:divBdr>
                <w:top w:val="none" w:sz="0" w:space="0" w:color="auto"/>
                <w:left w:val="none" w:sz="0" w:space="0" w:color="auto"/>
                <w:bottom w:val="none" w:sz="0" w:space="0" w:color="auto"/>
                <w:right w:val="none" w:sz="0" w:space="0" w:color="auto"/>
              </w:divBdr>
              <w:divsChild>
                <w:div w:id="4820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0428">
      <w:bodyDiv w:val="1"/>
      <w:marLeft w:val="0"/>
      <w:marRight w:val="0"/>
      <w:marTop w:val="0"/>
      <w:marBottom w:val="0"/>
      <w:divBdr>
        <w:top w:val="none" w:sz="0" w:space="0" w:color="auto"/>
        <w:left w:val="none" w:sz="0" w:space="0" w:color="auto"/>
        <w:bottom w:val="none" w:sz="0" w:space="0" w:color="auto"/>
        <w:right w:val="none" w:sz="0" w:space="0" w:color="auto"/>
      </w:divBdr>
    </w:div>
    <w:div w:id="1166434218">
      <w:bodyDiv w:val="1"/>
      <w:marLeft w:val="0"/>
      <w:marRight w:val="0"/>
      <w:marTop w:val="0"/>
      <w:marBottom w:val="0"/>
      <w:divBdr>
        <w:top w:val="none" w:sz="0" w:space="0" w:color="auto"/>
        <w:left w:val="none" w:sz="0" w:space="0" w:color="auto"/>
        <w:bottom w:val="none" w:sz="0" w:space="0" w:color="auto"/>
        <w:right w:val="none" w:sz="0" w:space="0" w:color="auto"/>
      </w:divBdr>
    </w:div>
    <w:div w:id="1572035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63F489-E947-4E44-8C81-71272D78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Darwish</dc:creator>
  <cp:keywords/>
  <dc:description/>
  <cp:lastModifiedBy>Elise Darwish</cp:lastModifiedBy>
  <cp:revision>2</cp:revision>
  <dcterms:created xsi:type="dcterms:W3CDTF">2018-02-28T23:01:00Z</dcterms:created>
  <dcterms:modified xsi:type="dcterms:W3CDTF">2018-02-28T23:01:00Z</dcterms:modified>
</cp:coreProperties>
</file>